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1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AirSculpt Technologies, Inc.</w:t>
      </w:r>
    </w:p>
    <w:p>
      <w:pPr>
        <w:spacing w:after="0" w:line="47"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46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7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001-40973</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87-1471855</w:t>
            </w:r>
          </w:p>
        </w:tc>
        <w:tc>
          <w:tcPr>
            <w:tcW w:w="0" w:type="dxa"/>
            <w:vAlign w:val="bottom"/>
          </w:tcPr>
          <w:p>
            <w:pPr>
              <w:spacing w:after="0"/>
              <w:rPr>
                <w:sz w:val="1"/>
                <w:szCs w:val="1"/>
                <w:color w:val="auto"/>
              </w:rPr>
            </w:pPr>
          </w:p>
        </w:tc>
      </w:tr>
      <w:tr>
        <w:trPr>
          <w:trHeight w:val="176"/>
        </w:trPr>
        <w:tc>
          <w:tcPr>
            <w:tcW w:w="2760" w:type="dxa"/>
            <w:vAlign w:val="bottom"/>
          </w:tcPr>
          <w:p>
            <w:pPr>
              <w:jc w:val="center"/>
              <w:ind w:left="210"/>
              <w:spacing w:after="0" w:line="176"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6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1700" w:type="dxa"/>
            <w:vAlign w:val="bottom"/>
          </w:tcPr>
          <w:p>
            <w:pPr>
              <w:jc w:val="center"/>
              <w:ind w:lef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7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437"/>
        </w:trPr>
        <w:tc>
          <w:tcPr>
            <w:tcW w:w="27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1111 Lincoln Road, Suite 802</w:t>
            </w:r>
          </w:p>
        </w:tc>
        <w:tc>
          <w:tcPr>
            <w:tcW w:w="4680" w:type="dxa"/>
            <w:vAlign w:val="bottom"/>
          </w:tcPr>
          <w:p>
            <w:pPr>
              <w:spacing w:after="0"/>
              <w:rPr>
                <w:sz w:val="24"/>
                <w:szCs w:val="24"/>
                <w:color w:val="auto"/>
              </w:rPr>
            </w:pPr>
          </w:p>
        </w:tc>
        <w:tc>
          <w:tcPr>
            <w:tcW w:w="17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234"/>
        </w:trPr>
        <w:tc>
          <w:tcPr>
            <w:tcW w:w="27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468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44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383"/>
        </w:trPr>
        <w:tc>
          <w:tcPr>
            <w:tcW w:w="2760" w:type="dxa"/>
            <w:vAlign w:val="bottom"/>
          </w:tcPr>
          <w:p>
            <w:pPr>
              <w:spacing w:after="0"/>
              <w:rPr>
                <w:sz w:val="24"/>
                <w:szCs w:val="24"/>
                <w:color w:val="auto"/>
              </w:rPr>
            </w:pPr>
          </w:p>
        </w:tc>
        <w:tc>
          <w:tcPr>
            <w:tcW w:w="46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(786) 709-9690</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6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46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sz w:val="24"/>
          <w:szCs w:val="24"/>
          <w:color w:val="auto"/>
        </w:rPr>
      </w:pPr>
    </w:p>
    <w:p>
      <w:pPr>
        <w:ind w:left="20"/>
        <w:spacing w:after="0" w:line="181"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60" w:type="dxa"/>
            <w:vAlign w:val="bottom"/>
            <w:gridSpan w:val="3"/>
            <w:vMerge w:val="restart"/>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Exchange</w:t>
            </w:r>
          </w:p>
        </w:tc>
        <w:tc>
          <w:tcPr>
            <w:tcW w:w="0" w:type="dxa"/>
            <w:vAlign w:val="bottom"/>
          </w:tcPr>
          <w:p>
            <w:pPr>
              <w:spacing w:after="0"/>
              <w:rPr>
                <w:sz w:val="1"/>
                <w:szCs w:val="1"/>
                <w:color w:val="auto"/>
              </w:rPr>
            </w:pPr>
          </w:p>
        </w:tc>
      </w:tr>
      <w:tr>
        <w:trPr>
          <w:trHeight w:val="243"/>
        </w:trPr>
        <w:tc>
          <w:tcPr>
            <w:tcW w:w="4660" w:type="dxa"/>
            <w:vAlign w:val="bottom"/>
            <w:gridSpan w:val="3"/>
            <w:vMerge w:val="continue"/>
          </w:tcPr>
          <w:p>
            <w:pPr>
              <w:spacing w:after="0"/>
              <w:rPr>
                <w:sz w:val="21"/>
                <w:szCs w:val="21"/>
                <w:color w:val="auto"/>
              </w:rPr>
            </w:pPr>
          </w:p>
        </w:tc>
        <w:tc>
          <w:tcPr>
            <w:tcW w:w="28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AIRS</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1"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18"/>
          <w:szCs w:val="18"/>
          <w:color w:val="auto"/>
        </w:rPr>
        <w:t>On May 8, 2026 , AirSculpt Technologies, Inc. (the “Company”) issued a press release announcing results for the three months ended March 31, 2026. A copy of the press release is attached hereto as Exhibit 99.1.</w:t>
      </w:r>
    </w:p>
    <w:p>
      <w:pPr>
        <w:spacing w:after="0" w:line="1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the purpose of Section 18 of the Securities Exchange Act of 1934 or otherwise subject to the liabilities of that section, nor shall it be deemed incorporated by reference in any filing under the Securities Act of 1933.</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makes reference to non-GAAP financial measures in the attached press release and a reconciliation of such non-GAAP financial measures to the most directly comparable GAAP financial measures is provided therein.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2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32"/>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5"/>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8, 2026</w:t>
            </w:r>
          </w:p>
        </w:tc>
      </w:tr>
      <w:tr>
        <w:trPr>
          <w:trHeight w:val="20"/>
        </w:trPr>
        <w:tc>
          <w:tcPr>
            <w:tcW w:w="126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2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2026</w:t>
      </w:r>
    </w:p>
    <w:p>
      <w:pPr>
        <w:spacing w:after="0" w:line="30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83"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Michael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11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Michael Arthur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Form 8-K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03" w:right="339" w:bottom="1440" w:gutter="0" w:footer="0" w:header="0"/>
        </w:sectPr>
      </w:pPr>
    </w:p>
    <w:bookmarkStart w:id="3" w:name="page4"/>
    <w:bookmarkEnd w:id="3"/>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Reports First Quarter Fiscal 2026 Results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Same Center Sales Increase 1% and Reaffirms Fiscal Year 2026 Outlook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MIAMI BEACH, Fla., May 8, 2026 (GLOBE NEWSWIRE) – AirSculpt Technologies, Inc. (NASDAQ:AIRS)(“AirSculpt” or the “Company”), a national provider of premium body contouring procedures, today announced results for the first quarter ended March 31, 2026.</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Yogi Jashnani, Chief Executive Officer, stated: “We had a solid start to the year delivering stabilization in revenue, positive same center sales, and a strengthened balance sheet in the first quarter. Our performance marks a key turning point for AirSculpt - the culmination of our transformational work in 2025 has given us a durable business model and a solid foundation to advance our strategy to achieve sustained long term profitable growth. I am proud of our team and confident in our ability to continue our favorable momentum as reflected in our reaffirmation of 2026 guidance.”</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"Same center sales continue to build as we enter our seasonally strong second quarter fueled by our enhanced and elevated sales and marketing initiatives,” continued Mr. Jashnani. “We move forward with the right talent, business model, strategy and balance sheet to maximize the power of our AirSculpt brand and proven body contouring procedures while broadening our reach, adding new incremental surgeries that leverage our operating platform and more fully capitalize on our GLP-1 opportunity. We believe that fiscal 2026 will include significant progress toward our goals of consistent revenue and profit growth and shareholder value creation,” concluded Mr. Jashnani.</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Results</w:t>
      </w:r>
    </w:p>
    <w:p>
      <w:pPr>
        <w:spacing w:after="0" w:line="1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volume was 3,082 for the first quarter of 2026, representing a 0.2% increase from the fiscal year 2025 first quarter case volume of 3,076;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flat at $39.4 million with the fiscal year 2025 first quarter and increased 1% on a same center sales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quarter was $2.4 million compared to net loss of $2.8 million in the fiscal year 2025 first quarter;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$3.3 million compared to $3.8 million in the fiscal year 2025 first quarter.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affirming its full year 2026 revenue and adjusted EBITDA guidance as follows: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$151 to $157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approximately $15 to $17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forward-looking statements, see the section titled "Forward-Looking Statements"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&amp; Liquidity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$16.7 million in cash and cash equivalents, with $5.0 million of borrowing capacity under its revolving credit facility. Additionally, gross debt was approximately $45.6 million. During the 2026 first quarter, the Company raised an additional $14.6 million from the at-the-market offering program and paid down $11.4 million of debt. The Company remains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AirSculpt will hold a conference call today, May 8, 2026 at 8:30 am (Eastern Time). The conference call can be accessed by dialing 1-877-407-9716 (toll-free domestic) or 1-201-493-6779 (international) using the conference ID 13760143 or by visiting the link below to request a return call for instant telephone access to the event.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https://callme.viavid.com/viavid/?$Y2FsbG1lPXRydWUmcGFzc2NvZGU9MTM3MjUxMTYmaD10cnVlJmluZm89Y29tcGFueSZyPXRydWUmQj02</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live webcast may be accessed via the investor relations section of the AirSculpt Technologies website at https://investors.airsculpt.com. A replay of the webcast will be available for approximately 90 days following the call.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learn more about AirSculpt, please visit the Company's website at https://investors.airsculpt.com. AirSculpt uses its website as a channel of distribution for material Company information. Financial and other material information regarding AirSculpt is routinely posted on the Company's website and is readily accessible.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AirSculpt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AirSculpt is a next-generation body contouring treatment designed to optimize both comfort and precision, available exclusively at AirSculpt offices. The minimally invasive procedure removes fat and tightens skin, while sculpting targeted areas of the body, allowing for quick healing with minimal bruising, tighter skin, and precise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U.S. securities laws.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(including in particular our projected 2026 revenue and adjusted EBITDA),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We qualify all of our forward-looking statements by these cautionary statements, including those factors discussed in the section titled “Risk Factors” in our Annual Report on Form 10-K.</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same-store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regulatory and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spacing w:after="0" w:line="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risk factors discussed in “Item 1A. Risk Factors” in our Annual Report on Form 10-K and in other filings we make from time to time with the SEC could cause our results to differ materially from those expressed in the forward-looking statements made in this press release.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also may be other risks and uncertainties that are currently unknown to us or that we are unable to predict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5" w:name="page6"/>
    <w:bookmarkEnd w:id="5"/>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these forward-looking statements, or to update the reasons actual results could differ materially from those anticipated after the date of this press release to conform our prior statements to actual results or revised expectations, except as required by law. Given these uncertainties, investors should not place undue reliance on these forward-looking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reports financial results in accordance with generally accepted accounting principles in the United States (“GAAP”), however, the Company believes the evaluation of ongoing operating results may be enhanced by a presentation of Adjusted EBITDA, Adjusted EBITDA Margin, Adjusted Net Loss and Adjusted Net Loss per Share, which are non-GAAP financial measures. Although the Company provides guidance for Adjusted EBITDA, it is not able to provide guidance for net income, the most directly comparable GAAP measure. Certain elements of the composition of net income, including equity-based compensation, are not predictable, making it impractical for us to provide guidance on net income or to reconcile our Adjusted EBITDA guidance to net income without unreasonable efforts. For the same reasons, the Company is unable to address the probable significance of the unavailable information regarding net income, which could be material to future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are not intended to replace financial performance measures determined in accordance with GAAP. Rather, they are presented as supplemental measures of the Company's performance that management believes may enhance the evaluation of the Company's ongoing operating results. These non-GAAP financial measures are not presented in accordance with GAAP, and the Company’s computation of these non-GAAP financial measures may vary from similar measures used by other companies. These measures have limitations as an analytical tool and should not be considered in isolation or as a substitute or alternative to revenue, net income, operating income, cash flows from operating activities, total indebtedness or any other measures of operating performance, liquidity or indebtedness derived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40005</wp:posOffset>
            </wp:positionV>
            <wp:extent cx="2280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76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7"/>
        </w:trPr>
        <w:tc>
          <w:tcPr>
            <w:tcW w:w="7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39,389</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39,371</w:t>
            </w:r>
          </w:p>
        </w:tc>
      </w:tr>
      <w:tr>
        <w:trPr>
          <w:trHeight w:val="24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7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Cost of service</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15,588</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15,950</w:t>
            </w:r>
          </w:p>
        </w:tc>
      </w:tr>
      <w:tr>
        <w:trPr>
          <w:trHeight w:val="243"/>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22,582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21,768</w:t>
            </w:r>
          </w:p>
        </w:tc>
      </w:tr>
      <w:tr>
        <w:trPr>
          <w:trHeight w:val="40"/>
        </w:trPr>
        <w:tc>
          <w:tcPr>
            <w:tcW w:w="7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w:t>
            </w:r>
          </w:p>
        </w:tc>
      </w:tr>
      <w:tr>
        <w:trPr>
          <w:trHeight w:val="237"/>
        </w:trPr>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41,191</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40,960</w:t>
            </w:r>
          </w:p>
        </w:tc>
      </w:tr>
      <w:tr>
        <w:trPr>
          <w:trHeight w:val="40"/>
        </w:trPr>
        <w:tc>
          <w:tcPr>
            <w:tcW w:w="76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7"/>
        </w:trPr>
        <w:tc>
          <w:tcPr>
            <w:tcW w:w="76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(1,589)</w:t>
            </w:r>
          </w:p>
        </w:tc>
      </w:tr>
      <w:tr>
        <w:trPr>
          <w:trHeight w:val="24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r>
      <w:tr>
        <w:trPr>
          <w:trHeight w:val="40"/>
        </w:trPr>
        <w:tc>
          <w:tcPr>
            <w:tcW w:w="7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w:t>
            </w: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Pre-tax net loss</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(3,214)</w:t>
            </w:r>
          </w:p>
        </w:tc>
      </w:tr>
      <w:tr>
        <w:trPr>
          <w:trHeight w:val="40"/>
        </w:trPr>
        <w:tc>
          <w:tcPr>
            <w:tcW w:w="76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77"/>
        </w:trPr>
        <w:tc>
          <w:tcPr>
            <w:tcW w:w="7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r>
      <w:tr>
        <w:trPr>
          <w:trHeight w:val="250"/>
        </w:trPr>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Pr>
          <w:p>
            <w:pPr>
              <w:spacing w:after="0"/>
              <w:rPr>
                <w:sz w:val="21"/>
                <w:szCs w:val="21"/>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(2,847)</w:t>
            </w:r>
          </w:p>
        </w:tc>
      </w:tr>
      <w:tr>
        <w:trPr>
          <w:trHeight w:val="34"/>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6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of common stock</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6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2"/>
                <w:szCs w:val="22"/>
                <w:color w:val="auto"/>
              </w:rPr>
            </w:pP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69,460,700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58,536,950</w:t>
            </w:r>
          </w:p>
        </w:tc>
      </w:tr>
      <w:tr>
        <w:trPr>
          <w:trHeight w:val="277"/>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69,460,700</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58,536,950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04" w:right="339" w:bottom="1440" w:gutter="0" w:footer="0" w:header="0"/>
        </w:sectPr>
      </w:pPr>
    </w:p>
    <w:bookmarkStart w:id="7" w:name="page8"/>
    <w:bookmarkEnd w:id="7"/>
    <w:p>
      <w:pPr>
        <w:jc w:val="right"/>
        <w:ind w:right="388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 w:lineRule="exact"/>
        <w:rPr>
          <w:sz w:val="20"/>
          <w:szCs w:val="20"/>
          <w:color w:val="auto"/>
        </w:rPr>
      </w:pPr>
    </w:p>
    <w:p>
      <w:pPr>
        <w:jc w:val="right"/>
        <w:ind w:right="3900"/>
        <w:spacing w:after="0"/>
        <w:rPr>
          <w:sz w:val="20"/>
          <w:szCs w:val="20"/>
          <w:color w:val="auto"/>
        </w:rPr>
      </w:pPr>
      <w:r>
        <w:rPr>
          <w:rFonts w:ascii="Times New Roman" w:cs="Times New Roman" w:eastAsia="Times New Roman" w:hAnsi="Times New Roman"/>
          <w:sz w:val="18"/>
          <w:szCs w:val="18"/>
          <w:b w:val="1"/>
          <w:bCs w:val="1"/>
          <w:color w:val="auto"/>
        </w:rPr>
        <w:t>Selected Financial and Operating Data</w:t>
      </w: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except per case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26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40"/>
        </w:trPr>
        <w:tc>
          <w:tcPr>
            <w:tcW w:w="7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43"/>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191,999</w:t>
            </w:r>
          </w:p>
        </w:tc>
        <w:tc>
          <w:tcPr>
            <w:tcW w:w="26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187,304</w:t>
            </w:r>
          </w:p>
        </w:tc>
        <w:tc>
          <w:tcPr>
            <w:tcW w:w="0" w:type="dxa"/>
            <w:vAlign w:val="bottom"/>
          </w:tcPr>
          <w:p>
            <w:pPr>
              <w:spacing w:after="0"/>
              <w:rPr>
                <w:sz w:val="1"/>
                <w:szCs w:val="1"/>
                <w:color w:val="auto"/>
              </w:rPr>
            </w:pPr>
          </w:p>
        </w:tc>
      </w:tr>
      <w:tr>
        <w:trPr>
          <w:trHeight w:val="41"/>
        </w:trPr>
        <w:tc>
          <w:tcPr>
            <w:tcW w:w="7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26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41"/>
        </w:trPr>
        <w:tc>
          <w:tcPr>
            <w:tcW w:w="7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43"/>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0" w:type="dxa"/>
            <w:vAlign w:val="bottom"/>
          </w:tcPr>
          <w:p>
            <w:pPr>
              <w:spacing w:after="0"/>
              <w:rPr>
                <w:sz w:val="1"/>
                <w:szCs w:val="1"/>
                <w:color w:val="auto"/>
              </w:rPr>
            </w:pPr>
          </w:p>
        </w:tc>
      </w:tr>
      <w:tr>
        <w:trPr>
          <w:trHeight w:val="40"/>
        </w:trPr>
        <w:tc>
          <w:tcPr>
            <w:tcW w:w="7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39,357</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0" w:type="dxa"/>
            <w:vAlign w:val="bottom"/>
          </w:tcPr>
          <w:p>
            <w:pPr>
              <w:spacing w:after="0"/>
              <w:rPr>
                <w:sz w:val="1"/>
                <w:szCs w:val="1"/>
                <w:color w:val="auto"/>
              </w:rPr>
            </w:pPr>
          </w:p>
        </w:tc>
      </w:tr>
      <w:tr>
        <w:trPr>
          <w:trHeight w:val="243"/>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Revolving credit funds payable</w:t>
            </w:r>
          </w:p>
        </w:tc>
        <w:tc>
          <w:tcPr>
            <w:tcW w:w="28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7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91,738</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99,592</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0" w:type="dxa"/>
            <w:vAlign w:val="bottom"/>
          </w:tcPr>
          <w:p>
            <w:pPr>
              <w:spacing w:after="0"/>
              <w:rPr>
                <w:sz w:val="1"/>
                <w:szCs w:val="1"/>
                <w:color w:val="auto"/>
              </w:rPr>
            </w:pPr>
          </w:p>
        </w:tc>
      </w:tr>
      <w:tr>
        <w:trPr>
          <w:trHeight w:val="41"/>
        </w:trPr>
        <w:tc>
          <w:tcPr>
            <w:tcW w:w="7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40005</wp:posOffset>
            </wp:positionV>
            <wp:extent cx="2211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7760" w:type="dxa"/>
            <w:vAlign w:val="bottom"/>
            <w:tcBorders>
              <w:bottom w:val="single" w:sz="8" w:color="CCEC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CCEC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77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060" w:type="dxa"/>
            <w:vAlign w:val="bottom"/>
            <w:tcBorders>
              <w:bottom w:val="single" w:sz="8" w:color="CCECFF"/>
            </w:tcBorders>
            <w:shd w:val="clear" w:color="auto" w:fill="CCECFF"/>
          </w:tcPr>
          <w:p>
            <w:pPr>
              <w:spacing w:after="0"/>
              <w:rPr>
                <w:sz w:val="21"/>
                <w:szCs w:val="21"/>
                <w:color w:val="auto"/>
              </w:rPr>
            </w:pPr>
          </w:p>
        </w:tc>
        <w:tc>
          <w:tcPr>
            <w:tcW w:w="5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CCECFF"/>
            </w:tcBorders>
            <w:shd w:val="clear" w:color="auto" w:fill="CCECFF"/>
          </w:tcPr>
          <w:p>
            <w:pPr>
              <w:spacing w:after="0"/>
              <w:rPr>
                <w:sz w:val="21"/>
                <w:szCs w:val="21"/>
                <w:color w:val="auto"/>
              </w:rPr>
            </w:pPr>
          </w:p>
        </w:tc>
      </w:tr>
      <w:tr>
        <w:trPr>
          <w:trHeight w:val="243"/>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7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77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43"/>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40"/>
        </w:trPr>
        <w:tc>
          <w:tcPr>
            <w:tcW w:w="7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40"/>
        </w:trPr>
        <w:tc>
          <w:tcPr>
            <w:tcW w:w="77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40005</wp:posOffset>
            </wp:positionV>
            <wp:extent cx="2263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7680" w:type="dxa"/>
            <w:vAlign w:val="bottom"/>
            <w:tcBorders>
              <w:bottom w:val="single" w:sz="8" w:color="CCEC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CCEC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6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020" w:type="dxa"/>
            <w:vAlign w:val="bottom"/>
            <w:tcBorders>
              <w:bottom w:val="single" w:sz="8" w:color="CCECFF"/>
            </w:tcBorders>
            <w:shd w:val="clear" w:color="auto" w:fill="CCECFF"/>
          </w:tcPr>
          <w:p>
            <w:pPr>
              <w:spacing w:after="0"/>
              <w:rPr>
                <w:sz w:val="21"/>
                <w:szCs w:val="21"/>
                <w:color w:val="auto"/>
              </w:rPr>
            </w:pPr>
          </w:p>
        </w:tc>
        <w:tc>
          <w:tcPr>
            <w:tcW w:w="6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300" w:type="dxa"/>
            <w:vAlign w:val="bottom"/>
            <w:tcBorders>
              <w:bottom w:val="single" w:sz="8" w:color="CCECFF"/>
            </w:tcBorders>
            <w:shd w:val="clear" w:color="auto" w:fill="CCECFF"/>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facilities</w:t>
            </w:r>
          </w:p>
        </w:tc>
        <w:tc>
          <w:tcPr>
            <w:tcW w:w="10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40"/>
        </w:trPr>
        <w:tc>
          <w:tcPr>
            <w:tcW w:w="7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6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1020" w:type="dxa"/>
            <w:vAlign w:val="bottom"/>
            <w:tcBorders>
              <w:bottom w:val="single" w:sz="8" w:color="CCECFF"/>
            </w:tcBorders>
            <w:shd w:val="clear" w:color="auto" w:fill="CCECFF"/>
          </w:tcPr>
          <w:p>
            <w:pPr>
              <w:spacing w:after="0"/>
              <w:rPr>
                <w:sz w:val="22"/>
                <w:szCs w:val="22"/>
                <w:color w:val="auto"/>
              </w:rPr>
            </w:pPr>
          </w:p>
        </w:tc>
        <w:tc>
          <w:tcPr>
            <w:tcW w:w="64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CCECFF"/>
            </w:tcBorders>
            <w:shd w:val="clear" w:color="auto" w:fill="CCECFF"/>
          </w:tcPr>
          <w:p>
            <w:pPr>
              <w:spacing w:after="0"/>
              <w:rPr>
                <w:sz w:val="22"/>
                <w:szCs w:val="22"/>
                <w:color w:val="auto"/>
              </w:rPr>
            </w:pPr>
          </w:p>
        </w:tc>
        <w:tc>
          <w:tcPr>
            <w:tcW w:w="130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7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63"/>
        </w:trPr>
        <w:tc>
          <w:tcPr>
            <w:tcW w:w="76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Cases</w:t>
            </w:r>
          </w:p>
        </w:tc>
        <w:tc>
          <w:tcPr>
            <w:tcW w:w="1020" w:type="dxa"/>
            <w:vAlign w:val="bottom"/>
            <w:tcBorders>
              <w:bottom w:val="single" w:sz="8" w:color="CCECFF"/>
            </w:tcBorders>
            <w:shd w:val="clear" w:color="auto" w:fill="CCECFF"/>
          </w:tcPr>
          <w:p>
            <w:pPr>
              <w:spacing w:after="0"/>
              <w:rPr>
                <w:sz w:val="22"/>
                <w:szCs w:val="22"/>
                <w:color w:val="auto"/>
              </w:rPr>
            </w:pPr>
          </w:p>
        </w:tc>
        <w:tc>
          <w:tcPr>
            <w:tcW w:w="64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CCECFF"/>
            </w:tcBorders>
            <w:shd w:val="clear" w:color="auto" w:fill="CCECFF"/>
          </w:tcPr>
          <w:p>
            <w:pPr>
              <w:spacing w:after="0"/>
              <w:rPr>
                <w:sz w:val="22"/>
                <w:szCs w:val="22"/>
                <w:color w:val="auto"/>
              </w:rPr>
            </w:pPr>
          </w:p>
        </w:tc>
        <w:tc>
          <w:tcPr>
            <w:tcW w:w="130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3,076</w:t>
            </w: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per case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12,780</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12,799</w:t>
            </w:r>
          </w:p>
        </w:tc>
      </w:tr>
      <w:tr>
        <w:trPr>
          <w:trHeight w:val="40"/>
        </w:trPr>
        <w:tc>
          <w:tcPr>
            <w:tcW w:w="7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76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C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3,312</w:t>
            </w:r>
          </w:p>
        </w:tc>
        <w:tc>
          <w:tcPr>
            <w:tcW w:w="220" w:type="dxa"/>
            <w:vAlign w:val="bottom"/>
            <w:shd w:val="clear" w:color="auto" w:fill="CCECFF"/>
          </w:tcPr>
          <w:p>
            <w:pPr>
              <w:spacing w:after="0"/>
              <w:rPr>
                <w:sz w:val="24"/>
                <w:szCs w:val="24"/>
                <w:color w:val="auto"/>
              </w:rPr>
            </w:pPr>
          </w:p>
        </w:tc>
        <w:tc>
          <w:tcPr>
            <w:tcW w:w="38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3,755</w:t>
            </w:r>
          </w:p>
        </w:tc>
      </w:tr>
      <w:tr>
        <w:trPr>
          <w:trHeight w:val="312"/>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bl>
    <w:p>
      <w:pPr>
        <w:spacing w:after="0" w:line="189" w:lineRule="exact"/>
        <w:rPr>
          <w:sz w:val="20"/>
          <w:szCs w:val="20"/>
          <w:color w:val="auto"/>
        </w:rPr>
      </w:pPr>
    </w:p>
    <w:p>
      <w:pPr>
        <w:ind w:left="180" w:hanging="154"/>
        <w:spacing w:after="0"/>
        <w:tabs>
          <w:tab w:leader="none" w:pos="1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reconciliation of this non-GAAP financial measure appears below.</w:t>
      </w:r>
    </w:p>
    <w:p>
      <w:pPr>
        <w:spacing w:after="0" w:line="119" w:lineRule="exact"/>
        <w:rPr>
          <w:rFonts w:ascii="Times New Roman" w:cs="Times New Roman" w:eastAsia="Times New Roman" w:hAnsi="Times New Roman"/>
          <w:sz w:val="19"/>
          <w:szCs w:val="19"/>
          <w:color w:val="auto"/>
          <w:vertAlign w:val="superscript"/>
        </w:rPr>
      </w:pPr>
    </w:p>
    <w:p>
      <w:pPr>
        <w:ind w:left="180" w:hanging="154"/>
        <w:spacing w:after="0"/>
        <w:tabs>
          <w:tab w:leader="none" w:pos="1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as Adjusted EBITDA as a percentage of revenue.</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04" w:right="339" w:bottom="1440" w:gutter="0" w:footer="0" w:header="0"/>
          <w:type w:val="continuous"/>
        </w:sectPr>
      </w:pPr>
    </w:p>
    <w:bookmarkStart w:id="8" w:name="page9"/>
    <w:bookmarkEnd w:id="8"/>
    <w:p>
      <w:pPr>
        <w:ind w:left="388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except per case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40005</wp:posOffset>
            </wp:positionV>
            <wp:extent cx="2280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41"/>
        </w:trPr>
        <w:tc>
          <w:tcPr>
            <w:tcW w:w="7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Same-center Information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Cases</w:t>
            </w:r>
          </w:p>
        </w:tc>
        <w:tc>
          <w:tcPr>
            <w:tcW w:w="1060" w:type="dxa"/>
            <w:vAlign w:val="bottom"/>
            <w:tcBorders>
              <w:bottom w:val="single" w:sz="8" w:color="CCECFF"/>
            </w:tcBorders>
            <w:shd w:val="clear" w:color="auto" w:fill="CCECFF"/>
          </w:tcPr>
          <w:p>
            <w:pPr>
              <w:spacing w:after="0"/>
              <w:rPr>
                <w:sz w:val="22"/>
                <w:szCs w:val="22"/>
                <w:color w:val="auto"/>
              </w:rPr>
            </w:pPr>
          </w:p>
        </w:tc>
        <w:tc>
          <w:tcPr>
            <w:tcW w:w="64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CCECFF"/>
            </w:tcBorders>
            <w:shd w:val="clear" w:color="auto" w:fill="CCECFF"/>
          </w:tcPr>
          <w:p>
            <w:pPr>
              <w:spacing w:after="0"/>
              <w:rPr>
                <w:sz w:val="22"/>
                <w:szCs w:val="22"/>
                <w:color w:val="auto"/>
              </w:rPr>
            </w:pPr>
          </w:p>
        </w:tc>
        <w:tc>
          <w:tcPr>
            <w:tcW w:w="130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Case growth</w:t>
            </w:r>
          </w:p>
        </w:tc>
        <w:tc>
          <w:tcPr>
            <w:tcW w:w="10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0"/>
        </w:trPr>
        <w:tc>
          <w:tcPr>
            <w:tcW w:w="7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Revenue per case</w:t>
            </w:r>
          </w:p>
        </w:tc>
        <w:tc>
          <w:tcPr>
            <w:tcW w:w="1060" w:type="dxa"/>
            <w:vAlign w:val="bottom"/>
            <w:tcBorders>
              <w:bottom w:val="single" w:sz="8" w:color="CCECFF"/>
            </w:tcBorders>
            <w:shd w:val="clear" w:color="auto" w:fill="CCEC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12,780</w:t>
            </w:r>
          </w:p>
        </w:tc>
        <w:tc>
          <w:tcPr>
            <w:tcW w:w="22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CCECFF"/>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per case growth</w:t>
            </w:r>
          </w:p>
        </w:tc>
        <w:tc>
          <w:tcPr>
            <w:tcW w:w="10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1"/>
        </w:trPr>
        <w:tc>
          <w:tcPr>
            <w:tcW w:w="7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Number of facilities</w:t>
            </w:r>
          </w:p>
        </w:tc>
        <w:tc>
          <w:tcPr>
            <w:tcW w:w="1060" w:type="dxa"/>
            <w:vAlign w:val="bottom"/>
            <w:tcBorders>
              <w:bottom w:val="single" w:sz="8" w:color="CCECFF"/>
            </w:tcBorders>
            <w:shd w:val="clear" w:color="auto" w:fill="CCECFF"/>
          </w:tcPr>
          <w:p>
            <w:pPr>
              <w:spacing w:after="0"/>
              <w:rPr>
                <w:sz w:val="22"/>
                <w:szCs w:val="22"/>
                <w:color w:val="auto"/>
              </w:rPr>
            </w:pPr>
          </w:p>
        </w:tc>
        <w:tc>
          <w:tcPr>
            <w:tcW w:w="64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CCECFF"/>
            </w:tcBorders>
            <w:shd w:val="clear" w:color="auto" w:fill="CCECFF"/>
          </w:tcPr>
          <w:p>
            <w:pPr>
              <w:spacing w:after="0"/>
              <w:rPr>
                <w:sz w:val="22"/>
                <w:szCs w:val="22"/>
                <w:color w:val="auto"/>
              </w:rPr>
            </w:pPr>
          </w:p>
        </w:tc>
        <w:tc>
          <w:tcPr>
            <w:tcW w:w="1300" w:type="dxa"/>
            <w:vAlign w:val="bottom"/>
            <w:tcBorders>
              <w:bottom w:val="single" w:sz="8" w:color="CCECFF"/>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10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260" w:right="20" w:hanging="234"/>
        <w:spacing w:after="0" w:line="267" w:lineRule="auto"/>
        <w:tabs>
          <w:tab w:leader="none" w:pos="163"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months ended March 31, 2026 and 2025, we define same-center case and revenue growth as the growth in each of our cases and revenue at facilities that were owned and operated during the three months ended March 31, 2026 and 2025, respectively. At facilities that were not owned or operated for the entirety of the prior year period, the current year period has been pro-rated to reflect only growth experienced during the portion of the three months ended March 31, 2026 in which such facilities were owned and operated during the three months ended March 31, 2025. We define same-center facilities and procedure rooms based on if a facility was owned or operated as of March 31, 2025. We have excluded the London facility from all periods presented due to the closure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04" w:right="339" w:bottom="1440" w:gutter="0" w:footer="0" w:header="0"/>
        </w:sectPr>
      </w:pPr>
    </w:p>
    <w:bookmarkStart w:id="9" w:name="page10"/>
    <w:bookmarkEnd w:id="9"/>
    <w:p>
      <w:pPr>
        <w:ind w:left="388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1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ind w:left="50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the evaluation of our ongoing operating results may be enhanced by a presentation of Adjusted EBITDA, Adjusted EBITDA Margin, Adjusted Net Loss and Adjusted Net Loss per Share, which are non-GAAP financial measures.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depreciation and amortization, net interest expense, income tax benefit, restructuring and related severance costs, one-time SOX compliance and other related costs, unrealized (gain)/loss, and equity-based compensation.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define Adjusted Net Loss as net loss excluding restructuring and related severance costs, one-time SOX compliance and other related costs,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Loss because they are important measures on which our management assesses and believes investors should assess our operating performance. We consider Adjusted EBITDA and Adjusted Net Loss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Loss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Loss per Share as Adjusted Net Loss divided by weighted average basic and diluted shares. We included Adjusted EBITDA Margin and Adjusted Net Loss per Share because they are important measures on which our management assesses and believes investors should assess our operating performance. We consider Adjusted EBITDA Margin and Adjusted Net Loss per Share to be important measures because they help illustrate underlying trends in our business and our historical operating performance on a more consistent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04" w:right="339" w:bottom="1440" w:gutter="0" w:footer="0" w:header="0"/>
        </w:sectPr>
      </w:pPr>
    </w:p>
    <w:bookmarkStart w:id="10" w:name="page11"/>
    <w:bookmarkEnd w:id="10"/>
    <w:p>
      <w:pPr>
        <w:ind w:left="388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1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ind w:left="50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 the most directly comparable GAAP financial measure:</w:t>
      </w:r>
    </w:p>
    <w:p>
      <w:pPr>
        <w:spacing w:after="0" w:line="208"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40005</wp:posOffset>
            </wp:positionV>
            <wp:extent cx="23228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1"/>
        </w:trPr>
        <w:tc>
          <w:tcPr>
            <w:tcW w:w="7580" w:type="dxa"/>
            <w:vAlign w:val="bottom"/>
            <w:tcBorders>
              <w:bottom w:val="single" w:sz="8" w:color="3D5588"/>
            </w:tcBorders>
          </w:tcPr>
          <w:p>
            <w:pPr>
              <w:spacing w:after="0"/>
              <w:rPr>
                <w:sz w:val="3"/>
                <w:szCs w:val="3"/>
                <w:color w:val="auto"/>
              </w:rPr>
            </w:pPr>
          </w:p>
        </w:tc>
        <w:tc>
          <w:tcPr>
            <w:tcW w:w="420" w:type="dxa"/>
            <w:vAlign w:val="bottom"/>
            <w:tcBorders>
              <w:bottom w:val="single" w:sz="8" w:color="3D5588"/>
            </w:tcBorders>
          </w:tcPr>
          <w:p>
            <w:pPr>
              <w:spacing w:after="0"/>
              <w:rPr>
                <w:sz w:val="3"/>
                <w:szCs w:val="3"/>
                <w:color w:val="auto"/>
              </w:rPr>
            </w:pPr>
          </w:p>
        </w:tc>
        <w:tc>
          <w:tcPr>
            <w:tcW w:w="1360" w:type="dxa"/>
            <w:vAlign w:val="bottom"/>
            <w:tcBorders>
              <w:bottom w:val="single" w:sz="8" w:color="3D5588"/>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3D5588"/>
            </w:tcBorders>
          </w:tcPr>
          <w:p>
            <w:pPr>
              <w:spacing w:after="0"/>
              <w:rPr>
                <w:sz w:val="3"/>
                <w:szCs w:val="3"/>
                <w:color w:val="auto"/>
              </w:rPr>
            </w:pPr>
          </w:p>
        </w:tc>
        <w:tc>
          <w:tcPr>
            <w:tcW w:w="1380" w:type="dxa"/>
            <w:vAlign w:val="bottom"/>
            <w:tcBorders>
              <w:bottom w:val="single" w:sz="8" w:color="3D5588"/>
            </w:tcBorders>
          </w:tcPr>
          <w:p>
            <w:pPr>
              <w:spacing w:after="0"/>
              <w:rPr>
                <w:sz w:val="3"/>
                <w:szCs w:val="3"/>
                <w:color w:val="auto"/>
              </w:rPr>
            </w:pPr>
          </w:p>
        </w:tc>
      </w:tr>
      <w:tr>
        <w:trPr>
          <w:trHeight w:val="257"/>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(2,847)</w:t>
            </w:r>
          </w:p>
        </w:tc>
      </w:tr>
      <w:tr>
        <w:trPr>
          <w:trHeight w:val="24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Plus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40"/>
        </w:trPr>
        <w:tc>
          <w:tcPr>
            <w:tcW w:w="7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7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1,239</w:t>
            </w:r>
          </w:p>
        </w:tc>
      </w:tr>
      <w:tr>
        <w:trPr>
          <w:trHeight w:val="243"/>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42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863</w:t>
            </w:r>
          </w:p>
        </w:tc>
      </w:tr>
      <w:tr>
        <w:trPr>
          <w:trHeight w:val="41"/>
        </w:trPr>
        <w:tc>
          <w:tcPr>
            <w:tcW w:w="7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7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One-time SOX compliance and other related costs</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3,242</w:t>
            </w:r>
          </w:p>
        </w:tc>
      </w:tr>
      <w:tr>
        <w:trPr>
          <w:trHeight w:val="40"/>
        </w:trPr>
        <w:tc>
          <w:tcPr>
            <w:tcW w:w="7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7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1,625</w:t>
            </w:r>
          </w:p>
        </w:tc>
      </w:tr>
      <w:tr>
        <w:trPr>
          <w:trHeight w:val="243"/>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(367)</w:t>
            </w:r>
          </w:p>
        </w:tc>
      </w:tr>
      <w:tr>
        <w:trPr>
          <w:trHeight w:val="40"/>
        </w:trPr>
        <w:tc>
          <w:tcPr>
            <w:tcW w:w="7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3"/>
        </w:trPr>
        <w:tc>
          <w:tcPr>
            <w:tcW w:w="7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w:t>
            </w: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3,312</w:t>
            </w:r>
          </w:p>
        </w:tc>
        <w:tc>
          <w:tcPr>
            <w:tcW w:w="100" w:type="dxa"/>
            <w:vAlign w:val="bottom"/>
          </w:tcPr>
          <w:p>
            <w:pPr>
              <w:spacing w:after="0"/>
              <w:rPr>
                <w:sz w:val="23"/>
                <w:szCs w:val="23"/>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3,755</w:t>
            </w:r>
          </w:p>
        </w:tc>
      </w:tr>
      <w:tr>
        <w:trPr>
          <w:trHeight w:val="21"/>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41"/>
        </w:trPr>
        <w:tc>
          <w:tcPr>
            <w:tcW w:w="75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Adjusted Net Loss and Adjusted Net Loss per Share to net loss, the most directly comparable GAAP financial measure:</w:t>
      </w:r>
    </w:p>
    <w:p>
      <w:pPr>
        <w:spacing w:after="0" w:line="27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31750</wp:posOffset>
            </wp:positionV>
            <wp:extent cx="20485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80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0"/>
        </w:trPr>
        <w:tc>
          <w:tcPr>
            <w:tcW w:w="8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40"/>
        </w:trPr>
        <w:tc>
          <w:tcPr>
            <w:tcW w:w="8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One-time SOX compliance and other related costs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40"/>
        </w:trPr>
        <w:tc>
          <w:tcPr>
            <w:tcW w:w="80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9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loss per share of common stock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7"/>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69,460,700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58,536,950</w:t>
            </w:r>
          </w:p>
        </w:tc>
      </w:tr>
      <w:tr>
        <w:trPr>
          <w:trHeight w:val="25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69,460,700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58,536,950</w:t>
            </w:r>
          </w:p>
        </w:tc>
      </w:tr>
    </w:tbl>
    <w:p>
      <w:pPr>
        <w:spacing w:after="0" w:line="220" w:lineRule="exact"/>
        <w:rPr>
          <w:sz w:val="20"/>
          <w:szCs w:val="20"/>
          <w:color w:val="auto"/>
        </w:rPr>
      </w:pPr>
    </w:p>
    <w:p>
      <w:pPr>
        <w:ind w:left="660" w:right="20" w:hanging="652"/>
        <w:spacing w:after="0" w:line="302" w:lineRule="auto"/>
        <w:tabs>
          <w:tab w:leader="none" w:pos="32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Loss Per Share is computed by dividing adjusted net loss by the weighted-average number of shares of common stock outstanding adjusted for the dilutive effect of all potential shares of common stock.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Malkin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04" w:right="339" w:bottom="1440" w:gutter="0" w:footer="0" w:header="0"/>
          <w:type w:val="continuous"/>
        </w:sectPr>
      </w:pPr>
    </w:p>
    <w:bookmarkStart w:id="11" w:name="page12"/>
    <w:bookmarkEnd w:id="11"/>
    <w:p>
      <w:pPr>
        <w:ind w:left="388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15"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ind w:left="50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airsculpt@icrinc.com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9</w:t>
      </w:r>
    </w:p>
    <w:sectPr>
      <w:pgSz w:w="11900" w:h="16838" w:orient="portrait"/>
      <w:cols w:equalWidth="0" w:num="1">
        <w:col w:w="10139"/>
      </w:cols>
      <w:pgMar w:left="32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2026-05-08T05:37:26Z</dcterms:created>
  <dcterms:modified xsi:type="dcterms:W3CDTF">2026-05-08T05:37:26Z</dcterms:modified>
</cp:coreProperties>
</file>